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9CEA13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93F30">
        <w:rPr>
          <w:rFonts w:ascii="Verdana" w:hAnsi="Verdana"/>
          <w:b/>
          <w:sz w:val="18"/>
          <w:szCs w:val="18"/>
        </w:rPr>
        <w:t>„</w:t>
      </w:r>
      <w:r w:rsidR="00893F30" w:rsidRPr="00893F30">
        <w:rPr>
          <w:rFonts w:ascii="Verdana" w:hAnsi="Verdana"/>
          <w:b/>
          <w:sz w:val="18"/>
          <w:szCs w:val="18"/>
        </w:rPr>
        <w:t>Diagnostika a přepočty strategických přemostění v oblasti OŘ Ústí nad Labem – II. etapa</w:t>
      </w:r>
      <w:r w:rsidR="00AF2031" w:rsidRPr="00893F3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05146FC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3F30" w:rsidRPr="00893F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93F30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152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2FDB95-DA58-4735-B1DD-6A08E7D4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3</cp:revision>
  <cp:lastPrinted>2016-08-01T07:54:00Z</cp:lastPrinted>
  <dcterms:created xsi:type="dcterms:W3CDTF">2023-06-28T06:16:00Z</dcterms:created>
  <dcterms:modified xsi:type="dcterms:W3CDTF">2023-06-28T11:06:00Z</dcterms:modified>
</cp:coreProperties>
</file>